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65E2" w:rsidRPr="00A378FB" w:rsidRDefault="00A165E2">
      <w:pPr>
        <w:pStyle w:val="Body"/>
        <w:rPr>
          <w:b/>
          <w:iCs/>
        </w:rPr>
      </w:pPr>
      <w:r w:rsidRPr="00A378FB">
        <w:rPr>
          <w:b/>
        </w:rPr>
        <w:t xml:space="preserve">Thomas </w:t>
      </w:r>
      <w:proofErr w:type="spellStart"/>
      <w:r w:rsidRPr="00A378FB">
        <w:rPr>
          <w:b/>
        </w:rPr>
        <w:t>Coomans</w:t>
      </w:r>
      <w:proofErr w:type="spellEnd"/>
      <w:r w:rsidRPr="00A378FB">
        <w:rPr>
          <w:b/>
        </w:rPr>
        <w:t xml:space="preserve">, </w:t>
      </w:r>
      <w:r w:rsidRPr="00A378FB">
        <w:rPr>
          <w:b/>
          <w:i/>
          <w:iCs/>
        </w:rPr>
        <w:t xml:space="preserve">Life </w:t>
      </w:r>
      <w:proofErr w:type="gramStart"/>
      <w:r w:rsidRPr="00A378FB">
        <w:rPr>
          <w:b/>
          <w:i/>
          <w:iCs/>
        </w:rPr>
        <w:t>Inside</w:t>
      </w:r>
      <w:proofErr w:type="gramEnd"/>
      <w:r w:rsidRPr="00A378FB">
        <w:rPr>
          <w:b/>
          <w:i/>
          <w:iCs/>
        </w:rPr>
        <w:t xml:space="preserve"> the Cloister: Understanding Monastic Architecture</w:t>
      </w:r>
      <w:r w:rsidRPr="00A378FB">
        <w:rPr>
          <w:b/>
          <w:iCs/>
        </w:rPr>
        <w:t xml:space="preserve">, Leuven University Press, Leuven, 2018. $55, ISBN </w:t>
      </w:r>
      <w:r w:rsidRPr="00A378FB">
        <w:rPr>
          <w:rFonts w:ascii="Arial" w:hAnsi="Arial" w:cs="Arial"/>
          <w:b/>
          <w:color w:val="333333"/>
          <w:sz w:val="21"/>
          <w:szCs w:val="21"/>
          <w:shd w:val="clear" w:color="auto" w:fill="FFFFFF"/>
        </w:rPr>
        <w:t>9789462701434</w:t>
      </w:r>
      <w:r w:rsidRPr="00A378FB">
        <w:rPr>
          <w:b/>
          <w:iCs/>
        </w:rPr>
        <w:t xml:space="preserve"> (paperback), 176 pages</w:t>
      </w:r>
    </w:p>
    <w:p w:rsidR="00A165E2" w:rsidRPr="00A378FB" w:rsidRDefault="00A165E2">
      <w:pPr>
        <w:pStyle w:val="Body"/>
        <w:rPr>
          <w:b/>
          <w:iCs/>
        </w:rPr>
      </w:pPr>
      <w:r w:rsidRPr="00A378FB">
        <w:rPr>
          <w:b/>
          <w:iCs/>
        </w:rPr>
        <w:t>Reviewed by: Kate Jordan, February 2019</w:t>
      </w:r>
    </w:p>
    <w:p w:rsidR="007936D1" w:rsidRDefault="007936D1">
      <w:pPr>
        <w:pStyle w:val="Body"/>
      </w:pPr>
    </w:p>
    <w:p w:rsidR="007936D1" w:rsidRDefault="00A378FB">
      <w:pPr>
        <w:pStyle w:val="Body"/>
      </w:pPr>
      <w:r>
        <w:t>This volume contributes a valuable and timely study of an under-researched building type to an emerging body of scholarship. The book has a potentially wide readership that includes historians, heritage professionals</w:t>
      </w:r>
      <w:r w:rsidR="00A165E2">
        <w:t>,</w:t>
      </w:r>
      <w:r>
        <w:t xml:space="preserve"> and members of religious communities but is especially useful for conservation </w:t>
      </w:r>
      <w:r w:rsidR="00A165E2">
        <w:t>architects. Thomas</w:t>
      </w:r>
      <w:r>
        <w:t xml:space="preserve"> </w:t>
      </w:r>
      <w:proofErr w:type="spellStart"/>
      <w:r>
        <w:t>Coomans</w:t>
      </w:r>
      <w:proofErr w:type="spellEnd"/>
      <w:r>
        <w:t>, a Professor of Architectural History and Heritage Conservation at the University of Leuven, describes the challenges that his own students often face in approaching design briefs for adapting monastic architecture and rightly suggests that in order to reuse these building</w:t>
      </w:r>
      <w:r w:rsidR="00A165E2">
        <w:t>s</w:t>
      </w:r>
      <w:r>
        <w:t xml:space="preserve"> effectively, architects and patrons need to understand historic context, function</w:t>
      </w:r>
      <w:r w:rsidR="00A165E2">
        <w:t>,</w:t>
      </w:r>
      <w:r>
        <w:t xml:space="preserve"> and spirituality. </w:t>
      </w:r>
    </w:p>
    <w:p w:rsidR="007936D1" w:rsidRDefault="007936D1">
      <w:pPr>
        <w:pStyle w:val="Body"/>
      </w:pPr>
    </w:p>
    <w:p w:rsidR="007936D1" w:rsidRDefault="00A378FB">
      <w:pPr>
        <w:pStyle w:val="Body"/>
      </w:pPr>
      <w:r>
        <w:t xml:space="preserve">The scope of the volume is wide: </w:t>
      </w:r>
      <w:proofErr w:type="spellStart"/>
      <w:r>
        <w:t>Coomans</w:t>
      </w:r>
      <w:proofErr w:type="spellEnd"/>
      <w:r>
        <w:t xml:space="preserve"> considers monastic architecture across Europe, from the early medieval era to the present day. Beyond the opening section (after the introduction) and the closing section (before the conclusion)</w:t>
      </w:r>
      <w:r w:rsidR="00A165E2">
        <w:t>,</w:t>
      </w:r>
      <w:r>
        <w:t xml:space="preserve"> </w:t>
      </w:r>
      <w:proofErr w:type="spellStart"/>
      <w:r>
        <w:t>Coomans</w:t>
      </w:r>
      <w:proofErr w:type="spellEnd"/>
      <w:r>
        <w:t xml:space="preserve"> has wisely avoided a strict chronological approach. The volume </w:t>
      </w:r>
      <w:proofErr w:type="gramStart"/>
      <w:r>
        <w:t>is divided</w:t>
      </w:r>
      <w:proofErr w:type="gramEnd"/>
      <w:r>
        <w:t xml:space="preserve"> into four sections with twenty-six short chapters, which consider the design and function of the monastery thematically. The sections begin with ‘Origins’ which considers the roots of monasticism and the effects of ‘space’ and ‘time’ on monastic design, looking at the cell; rule; community; church and cloister. Space and time are central to monastic design of all Christian denominations (indeed they are of equal importance to Buddhist monasteries) and it was useful to have these clearly described at the outset. </w:t>
      </w:r>
    </w:p>
    <w:p w:rsidR="007936D1" w:rsidRDefault="007936D1">
      <w:pPr>
        <w:pStyle w:val="Body"/>
      </w:pPr>
    </w:p>
    <w:p w:rsidR="007936D1" w:rsidRDefault="00A378FB">
      <w:pPr>
        <w:pStyle w:val="Body"/>
      </w:pPr>
      <w:r>
        <w:t xml:space="preserve">The following section, ‘Building Types’ considers the wide range of buildings that </w:t>
      </w:r>
      <w:proofErr w:type="spellStart"/>
      <w:r>
        <w:t>Coomans</w:t>
      </w:r>
      <w:proofErr w:type="spellEnd"/>
      <w:r>
        <w:t xml:space="preserve"> has grouped together under the broad term ‘monasteries’. This offers not only an excellent description of these complex, related building types but introduces the reader to some fascinating sites - of particular interest to this reviewer were the </w:t>
      </w:r>
      <w:proofErr w:type="spellStart"/>
      <w:r>
        <w:t>beguinages</w:t>
      </w:r>
      <w:proofErr w:type="spellEnd"/>
      <w:r>
        <w:t xml:space="preserve"> in Leuven and Leiden. The next section. ‘Embodying the Sacred’ explores the spiritual characteristics of monasteries in </w:t>
      </w:r>
      <w:r w:rsidR="00A165E2">
        <w:t>chapters, which</w:t>
      </w:r>
      <w:r>
        <w:t xml:space="preserve"> cover gender, enclosure, deat</w:t>
      </w:r>
      <w:r w:rsidR="00A165E2">
        <w:t>h and memory,</w:t>
      </w:r>
      <w:r>
        <w:t xml:space="preserve"> liturgy and style. </w:t>
      </w:r>
      <w:proofErr w:type="spellStart"/>
      <w:r>
        <w:t>Coomans</w:t>
      </w:r>
      <w:proofErr w:type="spellEnd"/>
      <w:r>
        <w:t xml:space="preserve"> makes a good reading of the significance of these elements; in particular, it was excellent to see reference to gender as a determining factor in design.</w:t>
      </w:r>
    </w:p>
    <w:p w:rsidR="007936D1" w:rsidRDefault="007936D1">
      <w:pPr>
        <w:pStyle w:val="Body"/>
      </w:pPr>
    </w:p>
    <w:p w:rsidR="007936D1" w:rsidRDefault="00A378FB">
      <w:pPr>
        <w:pStyle w:val="Body"/>
      </w:pPr>
      <w:proofErr w:type="spellStart"/>
      <w:r>
        <w:t>Coomans</w:t>
      </w:r>
      <w:proofErr w:type="spellEnd"/>
      <w:r>
        <w:t xml:space="preserve"> concludes the four sections with ‘Afterlife’ in which he considers the ‘Adaptive Reuse and </w:t>
      </w:r>
      <w:proofErr w:type="spellStart"/>
      <w:r>
        <w:t>Heritagisation</w:t>
      </w:r>
      <w:proofErr w:type="spellEnd"/>
      <w:r>
        <w:t xml:space="preserve">’ of monasteries. This is, perhaps, where the volume makes its most valuable contribution to scholarship. As many readers will be aware, the loss of historic monastic architecture and material culture is a continuing problem. Large institutions are difficult to recycle and too many end up as poorly adapted residential buildings that have little regard for the ‘characteristics’ and traditions that </w:t>
      </w:r>
      <w:proofErr w:type="spellStart"/>
      <w:r>
        <w:t>Coomans</w:t>
      </w:r>
      <w:proofErr w:type="spellEnd"/>
      <w:r>
        <w:t xml:space="preserve"> identifies in previous chapters. </w:t>
      </w:r>
    </w:p>
    <w:p w:rsidR="007936D1" w:rsidRDefault="007936D1">
      <w:pPr>
        <w:pStyle w:val="Body"/>
      </w:pPr>
    </w:p>
    <w:p w:rsidR="007936D1" w:rsidRDefault="00A378FB">
      <w:pPr>
        <w:pStyle w:val="Body"/>
      </w:pPr>
      <w:proofErr w:type="spellStart"/>
      <w:r>
        <w:t>Coomans</w:t>
      </w:r>
      <w:proofErr w:type="spellEnd"/>
      <w:r>
        <w:t xml:space="preserve"> has left some areas to be developed and expanded. For example, though he makes a solid reading of continental Roman Catholic architecture, he makes only </w:t>
      </w:r>
      <w:r w:rsidR="00A165E2">
        <w:t xml:space="preserve">brief </w:t>
      </w:r>
      <w:r>
        <w:t xml:space="preserve">references to the UK. This was where </w:t>
      </w:r>
      <w:proofErr w:type="spellStart"/>
      <w:r>
        <w:t>Coomans</w:t>
      </w:r>
      <w:proofErr w:type="spellEnd"/>
      <w:r w:rsidR="00A165E2">
        <w:t>’</w:t>
      </w:r>
      <w:r>
        <w:t xml:space="preserve"> research seemed least meticulous - indeed, he mistakenly suggests that Michael </w:t>
      </w:r>
      <w:proofErr w:type="spellStart"/>
      <w:r>
        <w:t>Blee’s</w:t>
      </w:r>
      <w:proofErr w:type="spellEnd"/>
      <w:r>
        <w:t xml:space="preserve"> completion of Douai Abbey dates from the 60s when it was in fact designed in the late-80s and completed in the early-90s. In the UK, monastic architecture</w:t>
      </w:r>
      <w:r w:rsidR="00A165E2">
        <w:t xml:space="preserve"> -</w:t>
      </w:r>
      <w:r>
        <w:t xml:space="preserve"> </w:t>
      </w:r>
      <w:proofErr w:type="gramStart"/>
      <w:r>
        <w:t>having been revived</w:t>
      </w:r>
      <w:proofErr w:type="gramEnd"/>
      <w:r>
        <w:t xml:space="preserve"> and belonging to a nation that did not have a developed Catholic culture</w:t>
      </w:r>
      <w:r w:rsidR="00A165E2">
        <w:t xml:space="preserve"> -</w:t>
      </w:r>
      <w:r>
        <w:t xml:space="preserve"> has emerged in a manner that reflects the rupture in continuity. In addition, religious orders in Britain belong to both the Roman and Anglo Catholic denominations. These denominations approach monastic design in matters of history, culture</w:t>
      </w:r>
      <w:r w:rsidR="00A165E2">
        <w:t>,</w:t>
      </w:r>
      <w:r>
        <w:t xml:space="preserve"> and theology, in different ways. The context for British monastic architecture is important and </w:t>
      </w:r>
      <w:proofErr w:type="spellStart"/>
      <w:r>
        <w:t>Coomans</w:t>
      </w:r>
      <w:proofErr w:type="spellEnd"/>
      <w:r>
        <w:t xml:space="preserve"> rather glossed over this.</w:t>
      </w:r>
    </w:p>
    <w:p w:rsidR="007936D1" w:rsidRDefault="007936D1">
      <w:pPr>
        <w:pStyle w:val="Body"/>
      </w:pPr>
    </w:p>
    <w:p w:rsidR="007936D1" w:rsidRDefault="00A378FB">
      <w:pPr>
        <w:pStyle w:val="Body"/>
      </w:pPr>
      <w:r>
        <w:t xml:space="preserve">Though </w:t>
      </w:r>
      <w:proofErr w:type="spellStart"/>
      <w:r>
        <w:t>Coomans</w:t>
      </w:r>
      <w:proofErr w:type="spellEnd"/>
      <w:r>
        <w:t xml:space="preserve"> is to </w:t>
      </w:r>
      <w:proofErr w:type="gramStart"/>
      <w:r>
        <w:t>be commended</w:t>
      </w:r>
      <w:proofErr w:type="gramEnd"/>
      <w:r>
        <w:t xml:space="preserve"> on producing such a comprehensive survey, the definition of ‘monastery’, which included </w:t>
      </w:r>
      <w:proofErr w:type="spellStart"/>
      <w:r>
        <w:t>beguinages</w:t>
      </w:r>
      <w:proofErr w:type="spellEnd"/>
      <w:r>
        <w:t xml:space="preserve"> and Jesuit institutions, might have been refined. </w:t>
      </w:r>
      <w:proofErr w:type="spellStart"/>
      <w:r>
        <w:t>Coomans</w:t>
      </w:r>
      <w:proofErr w:type="spellEnd"/>
      <w:r>
        <w:t xml:space="preserve"> approach had the virtue of allowing him to discuss the evolution of religious houses from the St Gall plan to post-Vatican II sites but it might have been useful to have a more precise definition of what he meant by the word ‘monastery’ and how he had made his selection of sites. If, for example, he was opening up the definition to include the buildings of active and mendicant orders as well as enclosed, what </w:t>
      </w:r>
      <w:proofErr w:type="gramStart"/>
      <w:r>
        <w:t>was left out</w:t>
      </w:r>
      <w:proofErr w:type="gramEnd"/>
      <w:r>
        <w:t xml:space="preserve"> was a description of the architecture of women’s </w:t>
      </w:r>
      <w:r>
        <w:lastRenderedPageBreak/>
        <w:t>congregations, which makes up a huge proportion of extant religious houses. In addition, the medieval and early modern sites significantly outnumbered nineteenth and twentieth-century ones, which as the author himself states at the beginning</w:t>
      </w:r>
      <w:r w:rsidR="00A165E2">
        <w:t>,</w:t>
      </w:r>
      <w:r>
        <w:t xml:space="preserve"> ‘constitute a much larger number of sites’. I would suggest that </w:t>
      </w:r>
      <w:proofErr w:type="gramStart"/>
      <w:r>
        <w:t>these</w:t>
      </w:r>
      <w:proofErr w:type="gramEnd"/>
      <w:r>
        <w:t xml:space="preserve"> sites that have the least amount of heritage protection and thus face the biggest threats.</w:t>
      </w:r>
    </w:p>
    <w:p w:rsidR="007936D1" w:rsidRDefault="007936D1">
      <w:pPr>
        <w:pStyle w:val="Body"/>
      </w:pPr>
    </w:p>
    <w:p w:rsidR="007936D1" w:rsidRDefault="00A378FB">
      <w:pPr>
        <w:pStyle w:val="Body"/>
      </w:pPr>
      <w:r>
        <w:t xml:space="preserve">Overall, this is an excellent </w:t>
      </w:r>
      <w:r w:rsidR="00A165E2">
        <w:t>volume, which</w:t>
      </w:r>
      <w:r>
        <w:t xml:space="preserve"> - in addition to being an enlightening and we-researched text - </w:t>
      </w:r>
      <w:proofErr w:type="gramStart"/>
      <w:r>
        <w:t>is illustrated</w:t>
      </w:r>
      <w:proofErr w:type="gramEnd"/>
      <w:r>
        <w:t xml:space="preserve"> with high-quality photographs, fascinating historical images and helpful architectural plans. </w:t>
      </w:r>
      <w:proofErr w:type="spellStart"/>
      <w:r>
        <w:t>Coomans</w:t>
      </w:r>
      <w:proofErr w:type="spellEnd"/>
      <w:r>
        <w:t xml:space="preserve">, who brings his architectural expertise and vision to the book, will undoubtedly be influential in helping to shape conservation strategies for this extraordinary and </w:t>
      </w:r>
      <w:bookmarkStart w:id="0" w:name="_GoBack"/>
      <w:r>
        <w:t>imperiled</w:t>
      </w:r>
      <w:bookmarkEnd w:id="0"/>
      <w:r>
        <w:t xml:space="preserve"> building type. </w:t>
      </w:r>
    </w:p>
    <w:sectPr w:rsidR="007936D1">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3DD5" w:rsidRDefault="00A378FB">
      <w:r>
        <w:separator/>
      </w:r>
    </w:p>
  </w:endnote>
  <w:endnote w:type="continuationSeparator" w:id="0">
    <w:p w:rsidR="00363DD5" w:rsidRDefault="00A37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36D1" w:rsidRDefault="007936D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3DD5" w:rsidRDefault="00A378FB">
      <w:r>
        <w:separator/>
      </w:r>
    </w:p>
  </w:footnote>
  <w:footnote w:type="continuationSeparator" w:id="0">
    <w:p w:rsidR="00363DD5" w:rsidRDefault="00A378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36D1" w:rsidRDefault="007936D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6D1"/>
    <w:rsid w:val="0031649A"/>
    <w:rsid w:val="00363DD5"/>
    <w:rsid w:val="007936D1"/>
    <w:rsid w:val="00A165E2"/>
    <w:rsid w:val="00A378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32C135-14A7-4E55-A7F9-A9EC7EF76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lang w:val="en-US"/>
    </w:rPr>
  </w:style>
  <w:style w:type="paragraph" w:styleId="BalloonText">
    <w:name w:val="Balloon Text"/>
    <w:basedOn w:val="Normal"/>
    <w:link w:val="BalloonTextChar"/>
    <w:uiPriority w:val="99"/>
    <w:semiHidden/>
    <w:unhideWhenUsed/>
    <w:rsid w:val="00A378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8FB"/>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97FD9A15</Template>
  <TotalTime>2</TotalTime>
  <Pages>2</Pages>
  <Words>834</Words>
  <Characters>4592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Flora Derounian</dc:creator>
  <cp:lastModifiedBy>Flora Derounian</cp:lastModifiedBy>
  <cp:revision>3</cp:revision>
  <dcterms:created xsi:type="dcterms:W3CDTF">2019-02-15T15:02:00Z</dcterms:created>
  <dcterms:modified xsi:type="dcterms:W3CDTF">2019-02-15T15:20:00Z</dcterms:modified>
</cp:coreProperties>
</file>